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37BC" w:rsidRPr="00A14932" w:rsidRDefault="001837BC" w:rsidP="001837BC">
      <w:pPr>
        <w:rPr>
          <w:b/>
          <w:bCs/>
          <w:sz w:val="28"/>
          <w:szCs w:val="28"/>
          <w:lang w:val="sq-AL"/>
        </w:rPr>
      </w:pPr>
      <w:r w:rsidRPr="00A14932">
        <w:rPr>
          <w:lang w:val="sq-AL"/>
        </w:rPr>
        <w:t xml:space="preserve"> </w:t>
      </w:r>
      <w:r w:rsidRPr="00A14932">
        <w:rPr>
          <w:b/>
          <w:bCs/>
          <w:sz w:val="28"/>
          <w:szCs w:val="28"/>
          <w:lang w:val="sq-AL"/>
        </w:rPr>
        <w:t>Fizika dhe objekti i saj i studimit</w:t>
      </w:r>
    </w:p>
    <w:p w:rsidR="00322C70" w:rsidRPr="00A14932" w:rsidRDefault="001837BC" w:rsidP="00322C70">
      <w:pPr>
        <w:jc w:val="both"/>
        <w:rPr>
          <w:lang w:val="sq-AL"/>
        </w:rPr>
      </w:pPr>
      <w:r w:rsidRPr="00A14932">
        <w:rPr>
          <w:lang w:val="sq-AL"/>
        </w:rPr>
        <w:t xml:space="preserve">Fizika 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>sht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nj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nga shkencat </w:t>
      </w:r>
      <w:r w:rsidR="00D807CC" w:rsidRPr="00A14932">
        <w:rPr>
          <w:lang w:val="sq-AL"/>
        </w:rPr>
        <w:t xml:space="preserve">themelore </w:t>
      </w:r>
      <w:r w:rsidRPr="00A14932">
        <w:rPr>
          <w:lang w:val="sq-AL"/>
        </w:rPr>
        <w:t>q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studion natyr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>n. Ne fillim fizika p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>rfshinte n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gjirin e saj t</w:t>
      </w:r>
      <w:r w:rsidR="00D807CC" w:rsidRPr="00A14932">
        <w:rPr>
          <w:lang w:val="sq-AL"/>
        </w:rPr>
        <w:t xml:space="preserve">ë </w:t>
      </w:r>
      <w:r w:rsidRPr="00A14932">
        <w:rPr>
          <w:lang w:val="sq-AL"/>
        </w:rPr>
        <w:t>gjitha shkencat e natyr</w:t>
      </w:r>
      <w:r w:rsidR="00D807CC" w:rsidRPr="00A14932">
        <w:rPr>
          <w:lang w:val="sq-AL"/>
        </w:rPr>
        <w:t>ë</w:t>
      </w:r>
      <w:r w:rsidR="00322C70" w:rsidRPr="00A14932">
        <w:rPr>
          <w:lang w:val="sq-AL"/>
        </w:rPr>
        <w:t>s</w:t>
      </w:r>
      <w:r w:rsidRPr="00A14932">
        <w:rPr>
          <w:lang w:val="sq-AL"/>
        </w:rPr>
        <w:t xml:space="preserve"> edhe filozofine. Me vone kur njohurit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e njeriut u shtuan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dhe u thelluan,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nga fizika u ndan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nje varg shkencash me vehte,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si</w:t>
      </w:r>
      <w:r w:rsidR="00322C70" w:rsidRPr="00A14932">
        <w:rPr>
          <w:lang w:val="sq-AL"/>
        </w:rPr>
        <w:t xml:space="preserve">: </w:t>
      </w:r>
      <w:r w:rsidRPr="00A14932">
        <w:rPr>
          <w:lang w:val="sq-AL"/>
        </w:rPr>
        <w:t xml:space="preserve"> kimia,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astronomia,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 xml:space="preserve">biologjia etj.                      </w:t>
      </w:r>
    </w:p>
    <w:p w:rsidR="001837BC" w:rsidRPr="00A14932" w:rsidRDefault="001837BC" w:rsidP="00322C70">
      <w:pPr>
        <w:jc w:val="both"/>
        <w:rPr>
          <w:lang w:val="sq-AL"/>
        </w:rPr>
      </w:pPr>
      <w:r w:rsidRPr="00A14932">
        <w:rPr>
          <w:lang w:val="sq-AL"/>
        </w:rPr>
        <w:t xml:space="preserve"> Nj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percaktim i plote i objektit qe studion fizika eshte </w:t>
      </w:r>
      <w:r w:rsidR="00322C70" w:rsidRPr="00A14932">
        <w:rPr>
          <w:lang w:val="sq-AL"/>
        </w:rPr>
        <w:t>i</w:t>
      </w:r>
      <w:r w:rsidRPr="00A14932">
        <w:rPr>
          <w:lang w:val="sq-AL"/>
        </w:rPr>
        <w:t xml:space="preserve"> veshtir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per arsye 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gershetimit t</w:t>
      </w:r>
      <w:r w:rsidR="00322C70" w:rsidRPr="00A14932">
        <w:rPr>
          <w:lang w:val="sq-AL"/>
        </w:rPr>
        <w:t xml:space="preserve">ë </w:t>
      </w:r>
      <w:r w:rsidRPr="00A14932">
        <w:rPr>
          <w:lang w:val="sq-AL"/>
        </w:rPr>
        <w:t>fizik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>s me shkencat e tjera 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natyr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>s,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si dhe me deg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>t e ndrys</w:t>
      </w:r>
      <w:r w:rsidR="00322C70" w:rsidRPr="00A14932">
        <w:rPr>
          <w:lang w:val="sq-AL"/>
        </w:rPr>
        <w:t>h</w:t>
      </w:r>
      <w:r w:rsidRPr="00A14932">
        <w:rPr>
          <w:lang w:val="sq-AL"/>
        </w:rPr>
        <w:t>me 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teknikes. Megjithat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mund t</w:t>
      </w:r>
      <w:r w:rsidR="00322C70" w:rsidRPr="00A14932">
        <w:rPr>
          <w:lang w:val="sq-AL"/>
        </w:rPr>
        <w:t xml:space="preserve">ë </w:t>
      </w:r>
      <w:r w:rsidRPr="00A14932">
        <w:rPr>
          <w:lang w:val="sq-AL"/>
        </w:rPr>
        <w:t>themi se fizika studion format m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thjeshta dhe 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pergjithshme t</w:t>
      </w:r>
      <w:r w:rsidR="00322C70" w:rsidRPr="00A14932">
        <w:rPr>
          <w:lang w:val="sq-AL"/>
        </w:rPr>
        <w:t>ë</w:t>
      </w:r>
      <w:r w:rsidRPr="00A14932">
        <w:rPr>
          <w:lang w:val="sq-AL"/>
        </w:rPr>
        <w:t xml:space="preserve"> materies. (psh. </w:t>
      </w:r>
      <w:r w:rsidR="00322C70" w:rsidRPr="00A14932">
        <w:rPr>
          <w:lang w:val="sq-AL"/>
        </w:rPr>
        <w:t>L</w:t>
      </w:r>
      <w:r w:rsidRPr="00A14932">
        <w:rPr>
          <w:lang w:val="sq-AL"/>
        </w:rPr>
        <w:t>evizjen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mekanike, levizjen molekulare, levizjen elektromagnetike, levizjen e thermijave brenda atomi t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>etj),</w:t>
      </w:r>
      <w:r w:rsidR="00322C70" w:rsidRPr="00A14932">
        <w:rPr>
          <w:lang w:val="sq-AL"/>
        </w:rPr>
        <w:t xml:space="preserve"> </w:t>
      </w:r>
      <w:r w:rsidRPr="00A14932">
        <w:rPr>
          <w:lang w:val="sq-AL"/>
        </w:rPr>
        <w:t xml:space="preserve">si edhe transformimet e tyre reciproke. Fizika sherben si baze e te gjitha shkencave natyrore.                                                       </w:t>
      </w:r>
    </w:p>
    <w:p w:rsidR="001837BC" w:rsidRPr="00A14932" w:rsidRDefault="001837BC" w:rsidP="00E92701">
      <w:pPr>
        <w:jc w:val="both"/>
        <w:rPr>
          <w:b/>
          <w:bCs/>
          <w:lang w:val="sq-AL"/>
        </w:rPr>
      </w:pPr>
      <w:r w:rsidRPr="00A14932">
        <w:rPr>
          <w:b/>
          <w:bCs/>
          <w:lang w:val="sq-AL"/>
        </w:rPr>
        <w:t>Fizika dallon dy forma kryesore t</w:t>
      </w:r>
      <w:r w:rsidR="00E92701" w:rsidRPr="00A14932">
        <w:rPr>
          <w:b/>
          <w:bCs/>
          <w:lang w:val="sq-AL"/>
        </w:rPr>
        <w:t>ë</w:t>
      </w:r>
      <w:r w:rsidRPr="00A14932">
        <w:rPr>
          <w:b/>
          <w:bCs/>
          <w:lang w:val="sq-AL"/>
        </w:rPr>
        <w:t xml:space="preserve"> materies:</w:t>
      </w:r>
      <w:r w:rsidR="00322C70" w:rsidRPr="00A14932">
        <w:rPr>
          <w:b/>
          <w:bCs/>
          <w:lang w:val="sq-AL"/>
        </w:rPr>
        <w:t xml:space="preserve"> </w:t>
      </w:r>
      <w:r w:rsidRPr="00A14932">
        <w:rPr>
          <w:b/>
          <w:bCs/>
          <w:lang w:val="sq-AL"/>
        </w:rPr>
        <w:t xml:space="preserve"> l</w:t>
      </w:r>
      <w:r w:rsidR="00E92701" w:rsidRPr="00A14932">
        <w:rPr>
          <w:b/>
          <w:bCs/>
          <w:lang w:val="sq-AL"/>
        </w:rPr>
        <w:t>ë</w:t>
      </w:r>
      <w:r w:rsidRPr="00A14932">
        <w:rPr>
          <w:b/>
          <w:bCs/>
          <w:lang w:val="sq-AL"/>
        </w:rPr>
        <w:t>nd</w:t>
      </w:r>
      <w:r w:rsidR="00E92701" w:rsidRPr="00A14932">
        <w:rPr>
          <w:b/>
          <w:bCs/>
          <w:lang w:val="sq-AL"/>
        </w:rPr>
        <w:t>ë</w:t>
      </w:r>
      <w:r w:rsidRPr="00A14932">
        <w:rPr>
          <w:b/>
          <w:bCs/>
          <w:lang w:val="sq-AL"/>
        </w:rPr>
        <w:t>n dhe fushen.</w:t>
      </w:r>
    </w:p>
    <w:p w:rsidR="001837BC" w:rsidRPr="00A14932" w:rsidRDefault="001837BC" w:rsidP="002E2D9A">
      <w:pPr>
        <w:jc w:val="both"/>
        <w:rPr>
          <w:lang w:val="sq-AL"/>
        </w:rPr>
      </w:pPr>
      <w:r w:rsidRPr="00A14932">
        <w:rPr>
          <w:lang w:val="sq-AL"/>
        </w:rPr>
        <w:t>N</w:t>
      </w:r>
      <w:r w:rsidR="005250DA" w:rsidRPr="00A14932">
        <w:rPr>
          <w:lang w:val="sq-AL"/>
        </w:rPr>
        <w:t>ë</w:t>
      </w:r>
      <w:r w:rsidRPr="00A14932">
        <w:rPr>
          <w:lang w:val="sq-AL"/>
        </w:rPr>
        <w:t xml:space="preserve">  lend</w:t>
      </w:r>
      <w:r w:rsidR="005250DA" w:rsidRPr="00A14932">
        <w:rPr>
          <w:lang w:val="sq-AL"/>
        </w:rPr>
        <w:t>ë</w:t>
      </w:r>
      <w:r w:rsidRPr="00A14932">
        <w:rPr>
          <w:lang w:val="sq-AL"/>
        </w:rPr>
        <w:t>n  hyjn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ato forma  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 materies  q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 p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rb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hen  nga  thermija  “elementare”  sic  jane protonet, neutronet, elektronet etj. Keto thermija perbejne atomet dhe molekulat nga 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cilat jane ndertuar te gjithe trupat e natyres.</w:t>
      </w:r>
    </w:p>
    <w:p w:rsidR="001837BC" w:rsidRPr="00A14932" w:rsidRDefault="001837BC" w:rsidP="006302D2">
      <w:pPr>
        <w:jc w:val="both"/>
        <w:rPr>
          <w:lang w:val="sq-AL"/>
        </w:rPr>
      </w:pPr>
      <w:r w:rsidRPr="00A14932">
        <w:rPr>
          <w:lang w:val="sq-AL"/>
        </w:rPr>
        <w:t>-Ne fushe hyjne: fusha gravitacionale,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fusha elektrike,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fusha magnetike,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fusha elektromagnetike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 xml:space="preserve">etj. </w:t>
      </w:r>
      <w:r w:rsidR="002E2D9A" w:rsidRPr="00A14932">
        <w:rPr>
          <w:lang w:val="sq-AL"/>
        </w:rPr>
        <w:t xml:space="preserve"> </w:t>
      </w:r>
    </w:p>
    <w:p w:rsidR="001837BC" w:rsidRPr="00A14932" w:rsidRDefault="001837BC" w:rsidP="006302D2">
      <w:pPr>
        <w:jc w:val="both"/>
        <w:rPr>
          <w:lang w:val="sq-AL"/>
        </w:rPr>
      </w:pPr>
      <w:r w:rsidRPr="00A14932">
        <w:rPr>
          <w:lang w:val="sq-AL"/>
        </w:rPr>
        <w:t>Fizika studion vetite fizike 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l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nd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s n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gjendje 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ngurt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l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ng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t 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gazte dhe plazm</w:t>
      </w:r>
      <w:r w:rsidR="002E2D9A" w:rsidRPr="00A14932">
        <w:rPr>
          <w:lang w:val="sq-AL"/>
        </w:rPr>
        <w:t>atike</w:t>
      </w:r>
      <w:r w:rsidRPr="00A14932">
        <w:rPr>
          <w:lang w:val="sq-AL"/>
        </w:rPr>
        <w:t xml:space="preserve"> </w:t>
      </w:r>
      <w:r w:rsidR="002E2D9A" w:rsidRPr="00A14932">
        <w:rPr>
          <w:lang w:val="sq-AL"/>
        </w:rPr>
        <w:t>.</w:t>
      </w:r>
      <w:r w:rsidRPr="00A14932">
        <w:rPr>
          <w:lang w:val="sq-AL"/>
        </w:rPr>
        <w:t xml:space="preserve">                                                          Fizika ashtu si dhe shkencat e tjera te natyres, studion vetite e botes qe na rethon,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ndertimin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dhe vetite e materies n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form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l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nde dhe fushe,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ligjet e bashkeveprimit dhe 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levizjes s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trupave material.  </w:t>
      </w:r>
      <w:r w:rsidR="002E2D9A" w:rsidRPr="00A14932">
        <w:rPr>
          <w:lang w:val="sq-AL"/>
        </w:rPr>
        <w:t xml:space="preserve"> </w:t>
      </w:r>
    </w:p>
    <w:p w:rsidR="001837BC" w:rsidRPr="00A14932" w:rsidRDefault="001837BC" w:rsidP="006302D2">
      <w:pPr>
        <w:jc w:val="both"/>
        <w:rPr>
          <w:lang w:val="sq-AL"/>
        </w:rPr>
      </w:pPr>
      <w:r w:rsidRPr="00A14932">
        <w:rPr>
          <w:lang w:val="sq-AL"/>
        </w:rPr>
        <w:t>Fizika dhe shkencat e tjera natyrore lind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>n dhe u zhvilluan t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lidhura ngushte me njera tjetren dhe te gjitha se bashku kane pasur si shtytje kryesore nevojat e teknikes dhe te prodhimit.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Arritjet e fizikes dhe vecanrisht zbatimi i tyre ne praktike kane ndihmuar fuqimisht zhvillimin e</w:t>
      </w:r>
      <w:r w:rsidR="002E2D9A" w:rsidRPr="00A14932">
        <w:rPr>
          <w:lang w:val="sq-AL"/>
        </w:rPr>
        <w:t xml:space="preserve"> </w:t>
      </w:r>
      <w:r w:rsidRPr="00A14932">
        <w:rPr>
          <w:lang w:val="sq-AL"/>
        </w:rPr>
        <w:t>shkencave te tjera natyrore dhe kane shnderruar fuqimisht tekniken, teknologjin</w:t>
      </w:r>
      <w:r w:rsidR="002E2D9A" w:rsidRPr="00A14932">
        <w:rPr>
          <w:lang w:val="sq-AL"/>
        </w:rPr>
        <w:t>ë</w:t>
      </w:r>
      <w:r w:rsidRPr="00A14932">
        <w:rPr>
          <w:lang w:val="sq-AL"/>
        </w:rPr>
        <w:t xml:space="preserve"> dhe prodhimin.</w:t>
      </w:r>
    </w:p>
    <w:p w:rsidR="001837BC" w:rsidRPr="00A14932" w:rsidRDefault="001837BC" w:rsidP="001837BC">
      <w:pPr>
        <w:rPr>
          <w:b/>
          <w:bCs/>
          <w:sz w:val="28"/>
          <w:szCs w:val="28"/>
          <w:lang w:val="sq-AL"/>
        </w:rPr>
      </w:pPr>
      <w:r w:rsidRPr="00A14932">
        <w:rPr>
          <w:b/>
          <w:bCs/>
          <w:sz w:val="28"/>
          <w:szCs w:val="28"/>
          <w:lang w:val="sq-AL"/>
        </w:rPr>
        <w:t>3. Matja e madhesive fizike. Sistemi nderkombetar i njesive</w:t>
      </w:r>
    </w:p>
    <w:p w:rsidR="001837BC" w:rsidRPr="00A14932" w:rsidRDefault="001837BC" w:rsidP="00613CE5">
      <w:pPr>
        <w:jc w:val="both"/>
        <w:rPr>
          <w:lang w:val="sq-AL"/>
        </w:rPr>
      </w:pPr>
      <w:r w:rsidRPr="00A14932">
        <w:rPr>
          <w:lang w:val="sq-AL"/>
        </w:rPr>
        <w:t>Ligjet e fizikes, ne pergjithesi shprehen me formula matematike qe shprehin lidhjen midis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vlerave numerike te madhesive fizike te cilat nderhyjn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 n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dukurite q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p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rshkruhen nga ligji. P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r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gjetur keto vlera  numerike duhen matur madhesite fizike.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matesh nj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madhesi</w:t>
      </w:r>
      <w:r w:rsidR="006302D2" w:rsidRPr="00A14932">
        <w:rPr>
          <w:lang w:val="sq-AL"/>
        </w:rPr>
        <w:t xml:space="preserve"> </w:t>
      </w:r>
      <w:r w:rsidRPr="00A14932">
        <w:rPr>
          <w:lang w:val="sq-AL"/>
        </w:rPr>
        <w:t xml:space="preserve"> fizike do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thote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krahasosh at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me nj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madh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si tjeter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po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atij lloji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marr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si nj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si </w:t>
      </w:r>
      <w:r w:rsidR="006302D2" w:rsidRPr="00A14932">
        <w:rPr>
          <w:lang w:val="sq-AL"/>
        </w:rPr>
        <w:t xml:space="preserve">. </w:t>
      </w:r>
      <w:r w:rsidRPr="00A14932">
        <w:rPr>
          <w:lang w:val="sq-AL"/>
        </w:rPr>
        <w:t>Vlera numerike e raportit te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madhesise qe matet me njesin</w:t>
      </w:r>
      <w:r w:rsidR="006302D2" w:rsidRPr="00A14932">
        <w:rPr>
          <w:lang w:val="sq-AL"/>
        </w:rPr>
        <w:t xml:space="preserve">ë  etalon quhet  </w:t>
      </w:r>
      <w:r w:rsidRPr="00A14932">
        <w:rPr>
          <w:lang w:val="sq-AL"/>
        </w:rPr>
        <w:t xml:space="preserve"> vlere numerike e madhesisë.</w:t>
      </w:r>
      <w:r w:rsidR="00990D8E" w:rsidRPr="00A14932">
        <w:rPr>
          <w:lang w:val="sq-AL"/>
        </w:rPr>
        <w:t xml:space="preserve"> </w:t>
      </w:r>
      <w:r w:rsidR="006302D2" w:rsidRPr="00A14932">
        <w:rPr>
          <w:lang w:val="sq-AL"/>
        </w:rPr>
        <w:t xml:space="preserve"> </w:t>
      </w:r>
      <w:r w:rsidRPr="00A14932">
        <w:rPr>
          <w:lang w:val="sq-AL"/>
        </w:rPr>
        <w:t>Matjet  mund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jen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 drejtperdrejta  ose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rthorta.  Ato  quhen 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 drejperdrejta  kur</w:t>
      </w:r>
      <w:r w:rsidR="00990D8E" w:rsidRPr="00A14932">
        <w:rPr>
          <w:lang w:val="sq-AL"/>
        </w:rPr>
        <w:t xml:space="preserve"> </w:t>
      </w:r>
      <w:r w:rsidR="006302D2" w:rsidRPr="00A14932">
        <w:rPr>
          <w:lang w:val="sq-AL"/>
        </w:rPr>
        <w:t>realizohen drejtpersedrejtë</w:t>
      </w:r>
      <w:r w:rsidRPr="00A14932">
        <w:rPr>
          <w:lang w:val="sq-AL"/>
        </w:rPr>
        <w:t xml:space="preserve"> me mjetet e matjes, dhe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rthorta kur rezultatet e matjes i nxjerim nga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llogaritjet me ndihmen e vlerave te matjeve te drejtp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rdrejta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madhesive te tjera te lidhura sipas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nj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var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sie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njohur me madhesin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q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matet. Keshtu p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>r shembull matja e gjatesis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se nj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trupi me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ndihmen e nj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vizoreje </w:t>
      </w:r>
      <w:r w:rsidR="00613CE5" w:rsidRPr="00A14932">
        <w:rPr>
          <w:lang w:val="sq-AL"/>
        </w:rPr>
        <w:t xml:space="preserve"> </w:t>
      </w:r>
      <w:r w:rsidRPr="00A14932">
        <w:rPr>
          <w:lang w:val="sq-AL"/>
        </w:rPr>
        <w:t>,</w:t>
      </w:r>
      <w:r w:rsidR="006302D2" w:rsidRPr="00A14932">
        <w:rPr>
          <w:lang w:val="sq-AL"/>
        </w:rPr>
        <w:t xml:space="preserve"> </w:t>
      </w:r>
      <w:r w:rsidRPr="00A14932">
        <w:rPr>
          <w:lang w:val="sq-AL"/>
        </w:rPr>
        <w:t>b</w:t>
      </w:r>
      <w:r w:rsidR="00613CE5" w:rsidRPr="00A14932">
        <w:rPr>
          <w:lang w:val="sq-AL"/>
        </w:rPr>
        <w:t>ë</w:t>
      </w:r>
      <w:r w:rsidRPr="00A14932">
        <w:rPr>
          <w:lang w:val="sq-AL"/>
        </w:rPr>
        <w:t>jn</w:t>
      </w:r>
      <w:r w:rsidR="00613CE5" w:rsidRPr="00A14932">
        <w:rPr>
          <w:lang w:val="sq-AL"/>
        </w:rPr>
        <w:t>ë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pjes</w:t>
      </w:r>
      <w:r w:rsidR="00613CE5" w:rsidRPr="00A14932">
        <w:rPr>
          <w:lang w:val="sq-AL"/>
        </w:rPr>
        <w:t>ë</w:t>
      </w:r>
      <w:r w:rsidRPr="00A14932">
        <w:rPr>
          <w:lang w:val="sq-AL"/>
        </w:rPr>
        <w:t xml:space="preserve"> n</w:t>
      </w:r>
      <w:r w:rsidR="00613CE5" w:rsidRPr="00A14932">
        <w:rPr>
          <w:lang w:val="sq-AL"/>
        </w:rPr>
        <w:t>ë</w:t>
      </w:r>
      <w:r w:rsidRPr="00A14932">
        <w:rPr>
          <w:lang w:val="sq-AL"/>
        </w:rPr>
        <w:t xml:space="preserve"> matjet e drejtperdrejta, ndersa gjetja e nxitimit t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r</w:t>
      </w:r>
      <w:r w:rsidR="006302D2" w:rsidRPr="00A14932">
        <w:rPr>
          <w:lang w:val="sq-AL"/>
        </w:rPr>
        <w:t>ënies se li</w:t>
      </w:r>
      <w:r w:rsidRPr="00A14932">
        <w:rPr>
          <w:lang w:val="sq-AL"/>
        </w:rPr>
        <w:t>r</w:t>
      </w:r>
      <w:r w:rsidR="006302D2" w:rsidRPr="00A14932">
        <w:rPr>
          <w:lang w:val="sq-AL"/>
        </w:rPr>
        <w:t>ë</w:t>
      </w:r>
      <w:r w:rsidRPr="00A14932">
        <w:rPr>
          <w:lang w:val="sq-AL"/>
        </w:rPr>
        <w:t xml:space="preserve"> me formulen:</w:t>
      </w:r>
      <w:r w:rsidR="007B2412" w:rsidRPr="00A14932">
        <w:rPr>
          <w:lang w:val="sq-AL"/>
        </w:rPr>
        <w:t xml:space="preserve"> </w:t>
      </w:r>
    </w:p>
    <w:p w:rsidR="007B2412" w:rsidRPr="00A14932" w:rsidRDefault="007B2412" w:rsidP="007B2412">
      <w:pPr>
        <w:jc w:val="both"/>
        <w:rPr>
          <w:lang w:val="sq-AL"/>
        </w:rPr>
      </w:pPr>
      <w:r w:rsidRPr="00A14932">
        <w:rPr>
          <w:lang w:val="sq-AL"/>
        </w:rPr>
        <w:t xml:space="preserve">                                                                            g = 4π</w:t>
      </w:r>
      <w:r w:rsidRPr="00A14932">
        <w:rPr>
          <w:vertAlign w:val="superscript"/>
          <w:lang w:val="sq-AL"/>
        </w:rPr>
        <w:t>2</w:t>
      </w:r>
      <w:r w:rsidRPr="00A14932">
        <w:rPr>
          <w:lang w:val="sq-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sq-AL"/>
              </w:rPr>
            </m:ctrlPr>
          </m:fPr>
          <m:num>
            <m:r>
              <w:rPr>
                <w:rFonts w:ascii="Cambria Math" w:hAnsi="Cambria Math"/>
                <w:lang w:val="sq-AL"/>
              </w:rPr>
              <m:t xml:space="preserve">l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sq-AL"/>
                  </w:rPr>
                </m:ctrlPr>
              </m:sSupPr>
              <m:e>
                <m:r>
                  <w:rPr>
                    <w:rFonts w:ascii="Cambria Math" w:hAnsi="Cambria Math"/>
                    <w:lang w:val="sq-AL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sq-AL"/>
                  </w:rPr>
                  <m:t>2</m:t>
                </m:r>
              </m:sup>
            </m:sSup>
          </m:den>
        </m:f>
      </m:oMath>
      <w:r w:rsidRPr="00A14932">
        <w:rPr>
          <w:lang w:val="sq-AL"/>
        </w:rPr>
        <w:t xml:space="preserve">  </w:t>
      </w:r>
    </w:p>
    <w:p w:rsidR="001837BC" w:rsidRPr="00A14932" w:rsidRDefault="001837BC" w:rsidP="007B2412">
      <w:pPr>
        <w:rPr>
          <w:lang w:val="sq-AL"/>
        </w:rPr>
      </w:pPr>
      <w:r w:rsidRPr="00A14932">
        <w:rPr>
          <w:lang w:val="sq-AL"/>
        </w:rPr>
        <w:t>b</w:t>
      </w:r>
      <w:r w:rsidR="007B2412" w:rsidRPr="00A14932">
        <w:rPr>
          <w:lang w:val="sq-AL"/>
        </w:rPr>
        <w:t>ë</w:t>
      </w:r>
      <w:r w:rsidRPr="00A14932">
        <w:rPr>
          <w:lang w:val="sq-AL"/>
        </w:rPr>
        <w:t>n</w:t>
      </w:r>
      <w:r w:rsidR="007B2412" w:rsidRPr="00A14932">
        <w:rPr>
          <w:lang w:val="sq-AL"/>
        </w:rPr>
        <w:t xml:space="preserve">ë </w:t>
      </w:r>
      <w:r w:rsidRPr="00A14932">
        <w:rPr>
          <w:lang w:val="sq-AL"/>
        </w:rPr>
        <w:t>pjes</w:t>
      </w:r>
      <w:r w:rsidR="007B2412" w:rsidRPr="00A14932">
        <w:rPr>
          <w:lang w:val="sq-AL"/>
        </w:rPr>
        <w:t>ë</w:t>
      </w:r>
      <w:r w:rsidRPr="00A14932">
        <w:rPr>
          <w:lang w:val="sq-AL"/>
        </w:rPr>
        <w:t xml:space="preserve"> n</w:t>
      </w:r>
      <w:r w:rsidR="007B2412" w:rsidRPr="00A14932">
        <w:rPr>
          <w:lang w:val="sq-AL"/>
        </w:rPr>
        <w:t>ë</w:t>
      </w:r>
      <w:r w:rsidRPr="00A14932">
        <w:rPr>
          <w:lang w:val="sq-AL"/>
        </w:rPr>
        <w:t xml:space="preserve"> matjet e terthorta</w:t>
      </w:r>
    </w:p>
    <w:p w:rsidR="001837BC" w:rsidRPr="00A14932" w:rsidRDefault="001837BC" w:rsidP="009B4A1F">
      <w:pPr>
        <w:jc w:val="both"/>
        <w:rPr>
          <w:lang w:val="sq-AL"/>
        </w:rPr>
      </w:pPr>
      <w:r w:rsidRPr="00A14932">
        <w:rPr>
          <w:lang w:val="sq-AL"/>
        </w:rPr>
        <w:lastRenderedPageBreak/>
        <w:t>Matja e nj</w:t>
      </w:r>
      <w:r w:rsidR="007B2412" w:rsidRPr="00A14932">
        <w:rPr>
          <w:lang w:val="sq-AL"/>
        </w:rPr>
        <w:t>ë</w:t>
      </w:r>
      <w:r w:rsidRPr="00A14932">
        <w:rPr>
          <w:lang w:val="sq-AL"/>
        </w:rPr>
        <w:t xml:space="preserve"> madh</w:t>
      </w:r>
      <w:r w:rsidR="007B2412" w:rsidRPr="00A14932">
        <w:rPr>
          <w:lang w:val="sq-AL"/>
        </w:rPr>
        <w:t>ë</w:t>
      </w:r>
      <w:r w:rsidRPr="00A14932">
        <w:rPr>
          <w:lang w:val="sq-AL"/>
        </w:rPr>
        <w:t>sie fizike k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>rkon edhe njohjen e nj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>sis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 xml:space="preserve"> se saj krahas procedur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>s se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matjes. Cdo madhesie fizike mund ti vihet ne korispodence nj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 xml:space="preserve"> etalon i caktuar n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 xml:space="preserve"> lidhje me t</w:t>
      </w:r>
      <w:r w:rsidR="006436EA" w:rsidRPr="00A14932">
        <w:rPr>
          <w:lang w:val="sq-AL"/>
        </w:rPr>
        <w:t>ë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cilin  krahasohen  vlerat  e  saj.  Kuptohet  nje  gje  e  tille  nuk  eshte  e  domosdosshme  dhe  as  e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pershtatshme.  Mjafton  te  zgjidhen  etalone  per  disa  madhesi  fizike  t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 xml:space="preserve">  cilat  quhen  madhesi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themelore dhe madhesit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 xml:space="preserve"> e tjera do te vleresohen nepermjet relacioneve (formulave) q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 xml:space="preserve"> lidhin k</w:t>
      </w:r>
      <w:r w:rsidR="006436EA" w:rsidRPr="00A14932">
        <w:rPr>
          <w:lang w:val="sq-AL"/>
        </w:rPr>
        <w:t>ë</w:t>
      </w:r>
      <w:r w:rsidRPr="00A14932">
        <w:rPr>
          <w:lang w:val="sq-AL"/>
        </w:rPr>
        <w:t>to</w:t>
      </w:r>
      <w:r w:rsidR="00990D8E" w:rsidRPr="00A14932">
        <w:rPr>
          <w:lang w:val="sq-AL"/>
        </w:rPr>
        <w:t xml:space="preserve"> </w:t>
      </w:r>
      <w:r w:rsidRPr="00A14932">
        <w:rPr>
          <w:lang w:val="sq-AL"/>
        </w:rPr>
        <w:t>madhesi me ato themeloret.</w:t>
      </w:r>
    </w:p>
    <w:p w:rsidR="00A14932" w:rsidRPr="00A14932" w:rsidRDefault="001837BC" w:rsidP="00A14932">
      <w:pPr>
        <w:pStyle w:val="Heading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both"/>
        <w:rPr>
          <w:rFonts w:ascii="Georgia" w:hAnsi="Georgia"/>
          <w:b w:val="0"/>
          <w:bCs w:val="0"/>
          <w:color w:val="000000"/>
          <w:sz w:val="24"/>
          <w:szCs w:val="24"/>
          <w:lang w:val="sq-AL"/>
        </w:rPr>
      </w:pPr>
      <w:r w:rsidRPr="00A14932">
        <w:rPr>
          <w:b w:val="0"/>
          <w:bCs w:val="0"/>
          <w:sz w:val="24"/>
          <w:szCs w:val="24"/>
          <w:lang w:val="sq-AL"/>
        </w:rPr>
        <w:t>Njesit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e madh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sive themelore quhen nj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 themelore,</w:t>
      </w:r>
      <w:r w:rsidR="006436EA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kurse ato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madh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sive te tjera quhen</w:t>
      </w:r>
      <w:r w:rsidR="00990D8E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nj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rrjedhura.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r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sia e nj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sive themelore dhe atyre te rrjedhura (te varura) p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rb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n sistemin e</w:t>
      </w:r>
      <w:r w:rsidR="00990D8E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njesive te matjes te madhesive fizike. Ne fizike jane perdorur mjaft sisteme nj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sish, </w:t>
      </w:r>
      <w:r w:rsidR="006436EA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q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 xml:space="preserve"> ka sjell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="00990D8E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shum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 xml:space="preserve"> v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>shtir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>si praktike per kalimin e nj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>sive nga nj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 xml:space="preserve"> sistem n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 xml:space="preserve"> tjetrin. </w:t>
      </w:r>
      <w:r w:rsidR="006436EA" w:rsidRPr="00A14932">
        <w:rPr>
          <w:b w:val="0"/>
          <w:bCs w:val="0"/>
          <w:sz w:val="24"/>
          <w:szCs w:val="24"/>
          <w:lang w:val="sq-AL"/>
        </w:rPr>
        <w:t xml:space="preserve">Prandaj </w:t>
      </w:r>
      <w:r w:rsidRPr="00A14932">
        <w:rPr>
          <w:b w:val="0"/>
          <w:bCs w:val="0"/>
          <w:sz w:val="24"/>
          <w:szCs w:val="24"/>
          <w:lang w:val="sq-AL"/>
        </w:rPr>
        <w:t xml:space="preserve"> n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 xml:space="preserve"> konferenc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>n</w:t>
      </w:r>
      <w:r w:rsidR="00990D8E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e XI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Masave dhe Peshave n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vitin 1960 u vendos q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n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gjitha deg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t e shkenc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 dhe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="00990D8E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teknik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 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p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rdorej vet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m Sistemi Nderkombetar (SI). Edhe n</w:t>
      </w:r>
      <w:r w:rsidR="006436EA" w:rsidRPr="00A14932">
        <w:rPr>
          <w:b w:val="0"/>
          <w:bCs w:val="0"/>
          <w:sz w:val="24"/>
          <w:szCs w:val="24"/>
          <w:lang w:val="sq-AL"/>
        </w:rPr>
        <w:t>e</w:t>
      </w:r>
      <w:r w:rsidRPr="00A14932">
        <w:rPr>
          <w:b w:val="0"/>
          <w:bCs w:val="0"/>
          <w:sz w:val="24"/>
          <w:szCs w:val="24"/>
          <w:lang w:val="sq-AL"/>
        </w:rPr>
        <w:t xml:space="preserve"> vendin ton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sht</w:t>
      </w:r>
      <w:r w:rsidR="006436EA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saksionuar me</w:t>
      </w:r>
      <w:r w:rsidR="00990D8E" w:rsidRPr="00A14932">
        <w:rPr>
          <w:b w:val="0"/>
          <w:bCs w:val="0"/>
          <w:sz w:val="24"/>
          <w:szCs w:val="24"/>
          <w:lang w:val="sq-AL"/>
        </w:rPr>
        <w:t xml:space="preserve"> </w:t>
      </w:r>
      <w:r w:rsidRPr="00A14932">
        <w:rPr>
          <w:b w:val="0"/>
          <w:bCs w:val="0"/>
          <w:sz w:val="24"/>
          <w:szCs w:val="24"/>
          <w:lang w:val="sq-AL"/>
        </w:rPr>
        <w:t>ligj p</w:t>
      </w:r>
      <w:r w:rsidR="009B4A1F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rdorimi i k</w:t>
      </w:r>
      <w:r w:rsidR="009B4A1F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tij sistemi. Perkufizimet e nj</w:t>
      </w:r>
      <w:r w:rsidR="009B4A1F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>sive t</w:t>
      </w:r>
      <w:r w:rsidR="009B4A1F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sistemit SI jan</w:t>
      </w:r>
      <w:r w:rsidR="009B4A1F" w:rsidRPr="00A14932">
        <w:rPr>
          <w:b w:val="0"/>
          <w:bCs w:val="0"/>
          <w:sz w:val="24"/>
          <w:szCs w:val="24"/>
          <w:lang w:val="sq-AL"/>
        </w:rPr>
        <w:t>ë</w:t>
      </w:r>
      <w:r w:rsidRPr="00A14932">
        <w:rPr>
          <w:b w:val="0"/>
          <w:bCs w:val="0"/>
          <w:sz w:val="24"/>
          <w:szCs w:val="24"/>
          <w:lang w:val="sq-AL"/>
        </w:rPr>
        <w:t xml:space="preserve"> si me poshte:</w:t>
      </w:r>
      <w:r w:rsidR="00A14932" w:rsidRPr="00A14932">
        <w:rPr>
          <w:rStyle w:val="BalloonTextChar"/>
          <w:rFonts w:ascii="Georgia" w:hAnsi="Georgia"/>
          <w:b w:val="0"/>
          <w:bCs w:val="0"/>
          <w:color w:val="000000"/>
          <w:sz w:val="24"/>
          <w:szCs w:val="24"/>
          <w:lang w:val="sq-AL"/>
        </w:rPr>
        <w:t xml:space="preserve"> </w:t>
      </w:r>
      <w:r w:rsidR="00A14932" w:rsidRPr="00A14932">
        <w:rPr>
          <w:rFonts w:ascii="Georgia" w:hAnsi="Georgia"/>
          <w:b w:val="0"/>
          <w:bCs w:val="0"/>
          <w:color w:val="000000"/>
          <w:sz w:val="24"/>
          <w:szCs w:val="24"/>
          <w:lang w:val="sq-AL"/>
        </w:rPr>
        <w:t xml:space="preserve">Sistemi SI </w:t>
      </w:r>
    </w:p>
    <w:p w:rsidR="00A14932" w:rsidRPr="00A14932" w:rsidRDefault="00A14932" w:rsidP="00A14932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val="sq-AL"/>
        </w:rPr>
      </w:pPr>
      <w:r w:rsidRPr="00A14932">
        <w:rPr>
          <w:rFonts w:ascii="Arial" w:eastAsia="Times New Roman" w:hAnsi="Arial" w:cs="Arial"/>
          <w:color w:val="252525"/>
          <w:sz w:val="21"/>
          <w:szCs w:val="21"/>
          <w:lang w:val="sq-AL"/>
        </w:rPr>
        <w:t>Sistemi SI ka 7 madhësi themelore me njësitë matëse përkatëse.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9"/>
        <w:gridCol w:w="821"/>
        <w:gridCol w:w="921"/>
        <w:gridCol w:w="821"/>
        <w:gridCol w:w="5378"/>
      </w:tblGrid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Madhësia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simboli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simboli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lang w:val="sq-AL"/>
              </w:rPr>
              <w:t>përkufizimi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6" w:tooltip="Gjatësia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Gjatësia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57150" cy="133350"/>
                  <wp:effectExtent l="19050" t="0" r="0" b="0"/>
                  <wp:docPr id="4" name="Picture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8" w:tooltip="Metri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metri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9" w:tooltip="M" w:history="1">
              <w:r w:rsidRPr="00272ACC">
                <w:rPr>
                  <w:rFonts w:ascii="Arial" w:eastAsia="Times New Roman" w:hAnsi="Arial" w:cs="Arial"/>
                  <w:b/>
                  <w:bCs/>
                  <w:sz w:val="20"/>
                  <w:lang w:val="sq-AL"/>
                </w:rPr>
                <w:t>m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Një metër është rruga që kalon rrezja e dritës në vakum brenda një prej 299.792.458 pjesëve të sekondës (1/299 792 458)s.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10" w:tooltip="Masa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Masa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161925" cy="85725"/>
                  <wp:effectExtent l="19050" t="0" r="9525" b="0"/>
                  <wp:docPr id="5" name="Picture 5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12" w:tooltip="Kilogrami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kilogrami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kg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Masa prej një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i/>
                <w:iCs/>
                <w:color w:val="252525"/>
                <w:sz w:val="20"/>
                <w:szCs w:val="20"/>
                <w:lang w:val="sq-AL"/>
              </w:rPr>
              <w:t>kg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është masa e cilindrit që ruhet si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hyperlink r:id="rId13" w:tooltip="Prototipi i kilgramit (nuk është shkruar akoma)" w:history="1">
              <w:r w:rsidRPr="00A14932">
                <w:rPr>
                  <w:rFonts w:ascii="Arial" w:eastAsia="Times New Roman" w:hAnsi="Arial" w:cs="Arial"/>
                  <w:color w:val="A55858"/>
                  <w:sz w:val="20"/>
                  <w:lang w:val="sq-AL"/>
                </w:rPr>
                <w:t>prototip i kilogramit</w:t>
              </w:r>
            </w:hyperlink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në Qendrën Internacionale të Sistemit SI në Paris.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14" w:tooltip="Koha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Koha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66675" cy="123825"/>
                  <wp:effectExtent l="19050" t="0" r="9525" b="0"/>
                  <wp:docPr id="6" name="Picture 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16" w:tooltip="Sekonda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sekonda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17" w:tooltip="S" w:history="1">
              <w:r w:rsidRPr="00272ACC">
                <w:rPr>
                  <w:rFonts w:ascii="Arial" w:eastAsia="Times New Roman" w:hAnsi="Arial" w:cs="Arial"/>
                  <w:b/>
                  <w:bCs/>
                  <w:sz w:val="20"/>
                  <w:lang w:val="sq-AL"/>
                </w:rPr>
                <w:t>s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Intervali kohor i cili nevojitet për saktësishtë për 9 192 631 770 perioda, për kalimin e atomit të elementit kimik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vertAlign w:val="superscript"/>
                <w:lang w:val="sq-AL"/>
              </w:rPr>
              <w:t>133</w:t>
            </w:r>
            <w:r w:rsidRPr="00A14932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lang w:val="sq-AL"/>
              </w:rPr>
              <w:t>Cs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nga një nivel në tjetrin.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18" w:tooltip="Inteziteti i rrymës elektrike (nuk është shkruar akoma)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Inteziteti i rrymës elektrike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95250" cy="133350"/>
                  <wp:effectExtent l="19050" t="0" r="0" b="0"/>
                  <wp:docPr id="7" name="Picture 7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0" w:tooltip="Amperi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amperi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1" w:tooltip="A" w:history="1">
              <w:r w:rsidRPr="00272ACC">
                <w:rPr>
                  <w:rFonts w:ascii="Arial" w:eastAsia="Times New Roman" w:hAnsi="Arial" w:cs="Arial"/>
                  <w:b/>
                  <w:bCs/>
                  <w:sz w:val="20"/>
                  <w:lang w:val="sq-AL"/>
                </w:rPr>
                <w:t>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1 Amperi është sasia e rrymës elektrike jo pe e asaj elektrike lol, që kalon ndërmjet dy drejtpërçuesve paralel në distancë në mes tyre prej një metri, me gjatësi të pakufizuar që gjenden në vakum.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2" w:tooltip="Temperatura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Temperatura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Picture 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4" w:tooltip="Kelvini (nuk është shkruar akoma)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kelvini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5" w:tooltip="K" w:history="1">
              <w:r w:rsidRPr="00272ACC">
                <w:rPr>
                  <w:rFonts w:ascii="Arial" w:eastAsia="Times New Roman" w:hAnsi="Arial" w:cs="Arial"/>
                  <w:b/>
                  <w:bCs/>
                  <w:sz w:val="20"/>
                  <w:lang w:val="sq-AL"/>
                </w:rPr>
                <w:t>K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Një kevin është 273,16 pjesë e tempelatulës termodinamike të pikës së ngrirejs së Ujit.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6" w:tooltip="Sasia e materies (nuk është shkruar akoma)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Sasia e materies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114300" cy="85725"/>
                  <wp:effectExtent l="19050" t="0" r="0" b="0"/>
                  <wp:docPr id="9" name="Picture 9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8" w:tooltip="Moli (nuk është shkruar akoma)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moli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mol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 xml:space="preserve">Një mol është numri i elementeve që e përbëjnë një substancë, që i përgjegjet numrit të atomeve në 0,012 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lastRenderedPageBreak/>
              <w:t>karbon të pastër</w:t>
            </w:r>
            <w:r w:rsidRPr="00A14932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vertAlign w:val="superscript"/>
                <w:lang w:val="sq-AL"/>
              </w:rPr>
              <w:t>12</w:t>
            </w:r>
            <w:r w:rsidRPr="00A14932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lang w:val="sq-AL"/>
              </w:rPr>
              <w:t>C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.</w:t>
            </w:r>
          </w:p>
        </w:tc>
      </w:tr>
      <w:tr w:rsidR="00A14932" w:rsidRPr="00A14932" w:rsidTr="00A149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29" w:tooltip="Intesiteti i dritës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Intesiteti i dritës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72ACC">
              <w:rPr>
                <w:rFonts w:ascii="Arial" w:eastAsia="Times New Roman" w:hAnsi="Arial" w:cs="Arial"/>
                <w:noProof/>
                <w:sz w:val="20"/>
                <w:szCs w:val="20"/>
                <w:lang w:val="sq-AL"/>
              </w:rPr>
              <w:drawing>
                <wp:inline distT="0" distB="0" distL="0" distR="0">
                  <wp:extent cx="161925" cy="161925"/>
                  <wp:effectExtent l="19050" t="0" r="9525" b="0"/>
                  <wp:docPr id="10" name="Picture 10" descr="l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hyperlink r:id="rId31" w:tooltip="Kandela (nuk është shkruar akoma)" w:history="1">
              <w:r w:rsidRPr="00272ACC">
                <w:rPr>
                  <w:rFonts w:ascii="Arial" w:eastAsia="Times New Roman" w:hAnsi="Arial" w:cs="Arial"/>
                  <w:sz w:val="20"/>
                  <w:lang w:val="sq-AL"/>
                </w:rPr>
                <w:t>kandela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cd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14932" w:rsidRPr="00A14932" w:rsidRDefault="00A14932" w:rsidP="00A14932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</w:pP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Një kandelë është intesiteti i dritës një një drejtim të caktuar , që një burim i cili prodhon rrezet me frekuencë 540 · 10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vertAlign w:val="superscript"/>
                <w:lang w:val="sq-AL"/>
              </w:rPr>
              <w:t>12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herc, dhe inteziteti i tyre në këtë drejtim është 1/683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  <w:lang w:val="sq-AL"/>
              </w:rPr>
              <w:t>W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lang w:val="sq-AL"/>
              </w:rPr>
              <w:t> </w:t>
            </w:r>
            <w:r w:rsidRPr="00A14932">
              <w:rPr>
                <w:rFonts w:ascii="Arial" w:eastAsia="Times New Roman" w:hAnsi="Arial" w:cs="Arial"/>
                <w:color w:val="252525"/>
                <w:sz w:val="20"/>
                <w:szCs w:val="20"/>
                <w:lang w:val="sq-AL"/>
              </w:rPr>
              <w:t>për steradian.</w:t>
            </w:r>
          </w:p>
        </w:tc>
      </w:tr>
    </w:tbl>
    <w:p w:rsidR="00A14932" w:rsidRPr="00272ACC" w:rsidRDefault="001837BC" w:rsidP="00272AC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272ACC">
        <w:rPr>
          <w:b/>
          <w:bCs/>
          <w:lang w:val="sq-AL"/>
        </w:rPr>
        <w:t>Njesia e kendit plan: radian (rad</w:t>
      </w:r>
      <w:r w:rsidR="00A14932" w:rsidRPr="00272ACC">
        <w:rPr>
          <w:b/>
          <w:bCs/>
          <w:lang w:val="sq-AL"/>
        </w:rPr>
        <w:t xml:space="preserve"> </w:t>
      </w:r>
      <w:r w:rsidRPr="00272ACC">
        <w:rPr>
          <w:b/>
          <w:bCs/>
          <w:lang w:val="sq-AL"/>
        </w:rPr>
        <w:t>)</w:t>
      </w:r>
      <w:r w:rsidR="00990D8E" w:rsidRPr="00272ACC">
        <w:rPr>
          <w:lang w:val="sq-AL"/>
        </w:rPr>
        <w:t xml:space="preserve"> </w:t>
      </w:r>
    </w:p>
    <w:p w:rsidR="001837BC" w:rsidRPr="00272ACC" w:rsidRDefault="001837BC" w:rsidP="00272ACC">
      <w:pPr>
        <w:pStyle w:val="ListParagraph"/>
        <w:jc w:val="both"/>
        <w:rPr>
          <w:lang w:val="sq-AL"/>
        </w:rPr>
      </w:pPr>
      <w:r w:rsidRPr="00272ACC">
        <w:rPr>
          <w:lang w:val="sq-AL"/>
        </w:rPr>
        <w:t>Radiani eshte kendi i kufizuar nga dy rreze te nje rrethi qe presin ne te nje hark ku</w:t>
      </w:r>
      <w:r w:rsidR="00990D8E" w:rsidRPr="00272ACC">
        <w:rPr>
          <w:lang w:val="sq-AL"/>
        </w:rPr>
        <w:t xml:space="preserve"> </w:t>
      </w:r>
      <w:r w:rsidRPr="00272ACC">
        <w:rPr>
          <w:lang w:val="sq-AL"/>
        </w:rPr>
        <w:t>gjatesia e te cilit eshte e barabarte me rrezen</w:t>
      </w:r>
    </w:p>
    <w:p w:rsidR="001837BC" w:rsidRPr="00272ACC" w:rsidRDefault="00A14932" w:rsidP="00272ACC">
      <w:pPr>
        <w:jc w:val="both"/>
        <w:rPr>
          <w:b/>
          <w:bCs/>
          <w:lang w:val="sq-AL"/>
        </w:rPr>
      </w:pPr>
      <w:r w:rsidRPr="00272ACC">
        <w:rPr>
          <w:b/>
          <w:bCs/>
          <w:lang w:val="sq-AL"/>
        </w:rPr>
        <w:t xml:space="preserve">       </w:t>
      </w:r>
      <w:r w:rsidR="001837BC" w:rsidRPr="00272ACC">
        <w:rPr>
          <w:b/>
          <w:bCs/>
          <w:lang w:val="sq-AL"/>
        </w:rPr>
        <w:t>b. Njesia e kendit  hapsinor: steradian (Sr)</w:t>
      </w:r>
    </w:p>
    <w:p w:rsidR="00A72F1A" w:rsidRPr="00272ACC" w:rsidRDefault="00272ACC" w:rsidP="00272ACC">
      <w:pPr>
        <w:jc w:val="both"/>
        <w:rPr>
          <w:lang w:val="sq-AL"/>
        </w:rPr>
      </w:pPr>
      <w:r w:rsidRPr="00272ACC">
        <w:rPr>
          <w:lang w:val="sq-AL"/>
        </w:rPr>
        <w:t xml:space="preserve">     </w:t>
      </w:r>
      <w:r w:rsidR="001837BC" w:rsidRPr="00272ACC">
        <w:rPr>
          <w:lang w:val="sq-AL"/>
        </w:rPr>
        <w:t xml:space="preserve">Steradiani 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>sht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 xml:space="preserve"> kendi hapsinor me kulm n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 xml:space="preserve"> qendr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>n e nj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 xml:space="preserve"> sfer</w:t>
      </w:r>
      <w:r w:rsidRPr="00272ACC">
        <w:rPr>
          <w:lang w:val="sq-AL"/>
        </w:rPr>
        <w:t>t</w:t>
      </w:r>
      <w:r w:rsidR="001837BC" w:rsidRPr="00272ACC">
        <w:rPr>
          <w:lang w:val="sq-AL"/>
        </w:rPr>
        <w:t xml:space="preserve"> dhe q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 xml:space="preserve"> pret n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 xml:space="preserve"> siperfaqen</w:t>
      </w:r>
      <w:r w:rsidR="00990D8E" w:rsidRPr="00272ACC">
        <w:rPr>
          <w:lang w:val="sq-AL"/>
        </w:rPr>
        <w:t xml:space="preserve"> </w:t>
      </w:r>
      <w:r w:rsidR="001837BC" w:rsidRPr="00272ACC">
        <w:rPr>
          <w:lang w:val="sq-AL"/>
        </w:rPr>
        <w:t>e saj  nj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pjes</w:t>
      </w:r>
      <w:r w:rsidR="00E92701" w:rsidRPr="00272ACC">
        <w:rPr>
          <w:lang w:val="sq-AL"/>
        </w:rPr>
        <w:t>ë</w:t>
      </w:r>
      <w:r w:rsidR="001837BC" w:rsidRPr="00272ACC">
        <w:rPr>
          <w:lang w:val="sq-AL"/>
        </w:rPr>
        <w:t xml:space="preserve"> me syprin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t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barabart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me at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t</w:t>
      </w:r>
      <w:r w:rsidRPr="00272ACC">
        <w:rPr>
          <w:lang w:val="sq-AL"/>
        </w:rPr>
        <w:t>e</w:t>
      </w:r>
      <w:r w:rsidR="001837BC" w:rsidRPr="00272ACC">
        <w:rPr>
          <w:lang w:val="sq-AL"/>
        </w:rPr>
        <w:t xml:space="preserve"> nj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katrori me brinj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 sa rrezja e sfer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>s.</w:t>
      </w:r>
      <w:r w:rsidR="00990D8E" w:rsidRPr="00272ACC">
        <w:rPr>
          <w:lang w:val="sq-AL"/>
        </w:rPr>
        <w:t xml:space="preserve"> </w:t>
      </w:r>
      <w:r w:rsidR="001837BC" w:rsidRPr="00272ACC">
        <w:rPr>
          <w:lang w:val="sq-AL"/>
        </w:rPr>
        <w:t>Formulat q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sherbejn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p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>r t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gjetur nj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>sit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e rrjedhura (t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 xml:space="preserve"> varura) duke shfrytezuar nj</w:t>
      </w:r>
      <w:r w:rsidRPr="00272ACC">
        <w:rPr>
          <w:lang w:val="sq-AL"/>
        </w:rPr>
        <w:t>ë</w:t>
      </w:r>
      <w:r w:rsidR="001837BC" w:rsidRPr="00272ACC">
        <w:rPr>
          <w:lang w:val="sq-AL"/>
        </w:rPr>
        <w:t>sit</w:t>
      </w:r>
      <w:r w:rsidRPr="00272ACC">
        <w:rPr>
          <w:lang w:val="sq-AL"/>
        </w:rPr>
        <w:t>ë</w:t>
      </w:r>
      <w:r w:rsidR="00990D8E" w:rsidRPr="00272ACC">
        <w:rPr>
          <w:lang w:val="sq-AL"/>
        </w:rPr>
        <w:t xml:space="preserve"> </w:t>
      </w:r>
      <w:r w:rsidR="001837BC" w:rsidRPr="00272ACC">
        <w:rPr>
          <w:lang w:val="sq-AL"/>
        </w:rPr>
        <w:t xml:space="preserve">themelore  quhen formula percaktuese. </w:t>
      </w:r>
      <w:r w:rsidRPr="00272ACC">
        <w:rPr>
          <w:lang w:val="sq-AL"/>
        </w:rPr>
        <w:t xml:space="preserve"> </w:t>
      </w:r>
    </w:p>
    <w:sectPr w:rsidR="00A72F1A" w:rsidRPr="00272ACC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428"/>
    <w:multiLevelType w:val="hybridMultilevel"/>
    <w:tmpl w:val="DADA82B4"/>
    <w:lvl w:ilvl="0" w:tplc="45E4A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0FF9"/>
    <w:multiLevelType w:val="hybridMultilevel"/>
    <w:tmpl w:val="EA988102"/>
    <w:lvl w:ilvl="0" w:tplc="61880E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compat/>
  <w:rsids>
    <w:rsidRoot w:val="001837BC"/>
    <w:rsid w:val="00026B14"/>
    <w:rsid w:val="001837BC"/>
    <w:rsid w:val="001A216A"/>
    <w:rsid w:val="00272ACC"/>
    <w:rsid w:val="002D3964"/>
    <w:rsid w:val="002E2D9A"/>
    <w:rsid w:val="00322C70"/>
    <w:rsid w:val="005250DA"/>
    <w:rsid w:val="00613CE5"/>
    <w:rsid w:val="006302D2"/>
    <w:rsid w:val="00631F0E"/>
    <w:rsid w:val="006436EA"/>
    <w:rsid w:val="006932C8"/>
    <w:rsid w:val="007B2412"/>
    <w:rsid w:val="0087004D"/>
    <w:rsid w:val="008877CA"/>
    <w:rsid w:val="00990D8E"/>
    <w:rsid w:val="009B4A1F"/>
    <w:rsid w:val="00A14932"/>
    <w:rsid w:val="00A72F1A"/>
    <w:rsid w:val="00D807CC"/>
    <w:rsid w:val="00E92701"/>
    <w:rsid w:val="00F237AE"/>
    <w:rsid w:val="00F83907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2">
    <w:name w:val="heading 2"/>
    <w:basedOn w:val="Normal"/>
    <w:link w:val="Heading2Char"/>
    <w:uiPriority w:val="9"/>
    <w:qFormat/>
    <w:rsid w:val="00A1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49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14932"/>
  </w:style>
  <w:style w:type="character" w:customStyle="1" w:styleId="mw-editsection">
    <w:name w:val="mw-editsection"/>
    <w:basedOn w:val="DefaultParagraphFont"/>
    <w:rsid w:val="00A14932"/>
  </w:style>
  <w:style w:type="character" w:customStyle="1" w:styleId="mw-editsection-bracket">
    <w:name w:val="mw-editsection-bracket"/>
    <w:basedOn w:val="DefaultParagraphFont"/>
    <w:rsid w:val="00A14932"/>
  </w:style>
  <w:style w:type="character" w:styleId="Hyperlink">
    <w:name w:val="Hyperlink"/>
    <w:basedOn w:val="DefaultParagraphFont"/>
    <w:uiPriority w:val="99"/>
    <w:semiHidden/>
    <w:unhideWhenUsed/>
    <w:rsid w:val="00A14932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A14932"/>
  </w:style>
  <w:style w:type="character" w:customStyle="1" w:styleId="apple-converted-space">
    <w:name w:val="apple-converted-space"/>
    <w:basedOn w:val="DefaultParagraphFont"/>
    <w:rsid w:val="00A14932"/>
  </w:style>
  <w:style w:type="paragraph" w:styleId="NormalWeb">
    <w:name w:val="Normal (Web)"/>
    <w:basedOn w:val="Normal"/>
    <w:uiPriority w:val="99"/>
    <w:semiHidden/>
    <w:unhideWhenUsed/>
    <w:rsid w:val="00A1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.wikipedia.org/wiki/Metri" TargetMode="External"/><Relationship Id="rId13" Type="http://schemas.openxmlformats.org/officeDocument/2006/relationships/hyperlink" Target="http://sq.wikipedia.org/w/index.php?title=Prototipi_i_kilgramit&amp;action=edit&amp;redlink=1" TargetMode="External"/><Relationship Id="rId18" Type="http://schemas.openxmlformats.org/officeDocument/2006/relationships/hyperlink" Target="http://sq.wikipedia.org/w/index.php?title=Inteziteti_i_rrym%C3%ABs_elektrike&amp;action=edit&amp;redlink=1" TargetMode="External"/><Relationship Id="rId26" Type="http://schemas.openxmlformats.org/officeDocument/2006/relationships/hyperlink" Target="http://sq.wikipedia.org/w/index.php?title=Sasia_e_materies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q.wikipedia.org/wiki/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q.wikipedia.org/wiki/Kilogrami" TargetMode="External"/><Relationship Id="rId17" Type="http://schemas.openxmlformats.org/officeDocument/2006/relationships/hyperlink" Target="http://sq.wikipedia.org/wiki/S" TargetMode="External"/><Relationship Id="rId25" Type="http://schemas.openxmlformats.org/officeDocument/2006/relationships/hyperlink" Target="http://sq.wikipedia.org/wiki/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q.wikipedia.org/wiki/Sekonda" TargetMode="External"/><Relationship Id="rId20" Type="http://schemas.openxmlformats.org/officeDocument/2006/relationships/hyperlink" Target="http://sq.wikipedia.org/wiki/Amperi" TargetMode="External"/><Relationship Id="rId29" Type="http://schemas.openxmlformats.org/officeDocument/2006/relationships/hyperlink" Target="http://sq.wikipedia.org/wiki/Intesiteti_i_drit%C3%AB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q.wikipedia.org/wiki/Gjat%C3%ABsia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sq.wikipedia.org/w/index.php?title=Kelvini&amp;action=edit&amp;redlink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sq.wikipedia.org/w/index.php?title=Moli&amp;action=edit&amp;redlink=1" TargetMode="External"/><Relationship Id="rId10" Type="http://schemas.openxmlformats.org/officeDocument/2006/relationships/hyperlink" Target="http://sq.wikipedia.org/wiki/Masa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sq.wikipedia.org/w/index.php?title=Kandel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q.wikipedia.org/wiki/M" TargetMode="External"/><Relationship Id="rId14" Type="http://schemas.openxmlformats.org/officeDocument/2006/relationships/hyperlink" Target="http://sq.wikipedia.org/wiki/Koha" TargetMode="External"/><Relationship Id="rId22" Type="http://schemas.openxmlformats.org/officeDocument/2006/relationships/hyperlink" Target="http://sq.wikipedia.org/wiki/Temperatura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2B3BA-F27F-40F5-AAEF-B72FC3C1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11</cp:revision>
  <dcterms:created xsi:type="dcterms:W3CDTF">2014-09-02T17:59:00Z</dcterms:created>
  <dcterms:modified xsi:type="dcterms:W3CDTF">2014-09-04T17:41:00Z</dcterms:modified>
</cp:coreProperties>
</file>